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78" w:rsidRPr="00705478" w:rsidRDefault="00705478" w:rsidP="00705478">
      <w:pPr>
        <w:jc w:val="center"/>
        <w:rPr>
          <w:rFonts w:ascii="宋体" w:eastAsia="宋体" w:hAnsi="宋体"/>
          <w:b/>
          <w:sz w:val="32"/>
          <w:szCs w:val="32"/>
        </w:rPr>
      </w:pPr>
      <w:r w:rsidRPr="00705478">
        <w:rPr>
          <w:rFonts w:ascii="宋体" w:eastAsia="宋体" w:hAnsi="宋体" w:hint="eastAsia"/>
          <w:b/>
          <w:sz w:val="32"/>
          <w:szCs w:val="32"/>
        </w:rPr>
        <w:t>华贵人寿保险股份有限公司</w:t>
      </w:r>
    </w:p>
    <w:p w:rsidR="00705478" w:rsidRPr="00705478" w:rsidRDefault="00705478" w:rsidP="00705478">
      <w:pPr>
        <w:jc w:val="center"/>
        <w:rPr>
          <w:rFonts w:ascii="宋体" w:eastAsia="宋体" w:hAnsi="宋体"/>
          <w:sz w:val="28"/>
          <w:szCs w:val="28"/>
        </w:rPr>
      </w:pPr>
      <w:r w:rsidRPr="00705478">
        <w:rPr>
          <w:rFonts w:ascii="宋体" w:eastAsia="宋体" w:hAnsi="宋体" w:hint="eastAsia"/>
          <w:b/>
          <w:sz w:val="32"/>
          <w:szCs w:val="32"/>
        </w:rPr>
        <w:t>关于分红保险盈余计算方法的信息披露公告</w:t>
      </w:r>
    </w:p>
    <w:p w:rsidR="00705478" w:rsidRPr="00705478" w:rsidRDefault="00705478" w:rsidP="00705478">
      <w:pPr>
        <w:rPr>
          <w:rFonts w:ascii="宋体" w:eastAsia="宋体" w:hAnsi="宋体"/>
          <w:sz w:val="28"/>
          <w:szCs w:val="28"/>
        </w:rPr>
      </w:pPr>
    </w:p>
    <w:p w:rsidR="00705478" w:rsidRPr="00705478" w:rsidRDefault="00705478" w:rsidP="0070547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05478">
        <w:rPr>
          <w:rFonts w:ascii="宋体" w:eastAsia="宋体" w:hAnsi="宋体" w:hint="eastAsia"/>
          <w:sz w:val="28"/>
          <w:szCs w:val="28"/>
        </w:rPr>
        <w:t>根据《中国保监会关于推进分</w:t>
      </w:r>
      <w:bookmarkStart w:id="0" w:name="_GoBack"/>
      <w:r w:rsidRPr="00705478">
        <w:rPr>
          <w:rFonts w:ascii="宋体" w:eastAsia="宋体" w:hAnsi="宋体" w:hint="eastAsia"/>
          <w:sz w:val="28"/>
          <w:szCs w:val="28"/>
        </w:rPr>
        <w:t>红型人身保险费率政策改革有关事项的通知》（保监发〔2015〕93号）的要求，现将分红保险盈余计算方法的有关信息披露如下：</w:t>
      </w:r>
    </w:p>
    <w:p w:rsidR="00705478" w:rsidRPr="00705478" w:rsidRDefault="00705478" w:rsidP="0070547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05478">
        <w:rPr>
          <w:rFonts w:ascii="宋体" w:eastAsia="宋体" w:hAnsi="宋体" w:hint="eastAsia"/>
          <w:sz w:val="28"/>
          <w:szCs w:val="28"/>
        </w:rPr>
        <w:t>我公司</w:t>
      </w:r>
      <w:r w:rsidRPr="00705478">
        <w:rPr>
          <w:rFonts w:ascii="宋体" w:eastAsia="宋体" w:hAnsi="宋体"/>
          <w:sz w:val="28"/>
          <w:szCs w:val="28"/>
        </w:rPr>
        <w:t>根据上一年度分红业务的</w:t>
      </w:r>
      <w:r w:rsidRPr="00705478">
        <w:rPr>
          <w:rFonts w:ascii="宋体" w:eastAsia="宋体" w:hAnsi="宋体" w:hint="eastAsia"/>
          <w:sz w:val="28"/>
          <w:szCs w:val="28"/>
        </w:rPr>
        <w:t>实际</w:t>
      </w:r>
      <w:r w:rsidRPr="00705478">
        <w:rPr>
          <w:rFonts w:ascii="宋体" w:eastAsia="宋体" w:hAnsi="宋体"/>
          <w:sz w:val="28"/>
          <w:szCs w:val="28"/>
        </w:rPr>
        <w:t>经营情况，遵循普遍接受的精算</w:t>
      </w:r>
      <w:r w:rsidRPr="00705478">
        <w:rPr>
          <w:rFonts w:ascii="宋体" w:eastAsia="宋体" w:hAnsi="宋体" w:hint="eastAsia"/>
          <w:sz w:val="28"/>
          <w:szCs w:val="28"/>
        </w:rPr>
        <w:t>原理，结合</w:t>
      </w:r>
      <w:r w:rsidRPr="00705478">
        <w:rPr>
          <w:rFonts w:ascii="宋体" w:eastAsia="宋体" w:hAnsi="宋体"/>
          <w:sz w:val="28"/>
          <w:szCs w:val="28"/>
        </w:rPr>
        <w:t>可持续性、可支撑性原则，确定当年分红业务的可分配盈余。</w:t>
      </w:r>
      <w:r w:rsidR="00472722">
        <w:rPr>
          <w:rFonts w:ascii="宋体" w:eastAsia="宋体" w:hAnsi="宋体" w:hint="eastAsia"/>
          <w:sz w:val="28"/>
          <w:szCs w:val="28"/>
        </w:rPr>
        <w:t>可分配盈余来自本公司实际</w:t>
      </w:r>
      <w:r w:rsidR="00DB2D60">
        <w:rPr>
          <w:rFonts w:ascii="宋体" w:eastAsia="宋体" w:hAnsi="宋体" w:hint="eastAsia"/>
          <w:sz w:val="28"/>
          <w:szCs w:val="28"/>
        </w:rPr>
        <w:t>的</w:t>
      </w:r>
      <w:r w:rsidRPr="00705478">
        <w:rPr>
          <w:rFonts w:ascii="宋体" w:eastAsia="宋体" w:hAnsi="宋体" w:hint="eastAsia"/>
          <w:sz w:val="28"/>
          <w:szCs w:val="28"/>
        </w:rPr>
        <w:t>投资收益率、死亡率</w:t>
      </w:r>
      <w:r w:rsidR="00DB2D60">
        <w:rPr>
          <w:rFonts w:ascii="宋体" w:eastAsia="宋体" w:hAnsi="宋体" w:hint="eastAsia"/>
          <w:sz w:val="28"/>
          <w:szCs w:val="28"/>
        </w:rPr>
        <w:t>以及</w:t>
      </w:r>
      <w:r w:rsidR="00472722">
        <w:rPr>
          <w:rFonts w:ascii="宋体" w:eastAsia="宋体" w:hAnsi="宋体"/>
          <w:sz w:val="28"/>
          <w:szCs w:val="28"/>
        </w:rPr>
        <w:t>费用</w:t>
      </w:r>
      <w:r w:rsidRPr="00705478">
        <w:rPr>
          <w:rFonts w:ascii="宋体" w:eastAsia="宋体" w:hAnsi="宋体" w:hint="eastAsia"/>
          <w:sz w:val="28"/>
          <w:szCs w:val="28"/>
        </w:rPr>
        <w:t>等相关营运经验与评估假设的差</w:t>
      </w:r>
      <w:bookmarkEnd w:id="0"/>
      <w:r w:rsidRPr="00705478">
        <w:rPr>
          <w:rFonts w:ascii="宋体" w:eastAsia="宋体" w:hAnsi="宋体" w:hint="eastAsia"/>
          <w:sz w:val="28"/>
          <w:szCs w:val="28"/>
        </w:rPr>
        <w:t>异产生的收益。</w:t>
      </w:r>
    </w:p>
    <w:p w:rsidR="00705478" w:rsidRPr="00705478" w:rsidRDefault="00705478" w:rsidP="00705478">
      <w:pPr>
        <w:rPr>
          <w:rFonts w:ascii="宋体" w:eastAsia="宋体" w:hAnsi="宋体"/>
          <w:sz w:val="28"/>
          <w:szCs w:val="28"/>
        </w:rPr>
      </w:pPr>
    </w:p>
    <w:p w:rsidR="00705478" w:rsidRPr="00705478" w:rsidRDefault="00705478" w:rsidP="0070547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05478">
        <w:rPr>
          <w:rFonts w:ascii="宋体" w:eastAsia="宋体" w:hAnsi="宋体" w:hint="eastAsia"/>
          <w:sz w:val="28"/>
          <w:szCs w:val="28"/>
        </w:rPr>
        <w:t>特此公告</w:t>
      </w:r>
    </w:p>
    <w:p w:rsidR="00526BB5" w:rsidRPr="00705478" w:rsidRDefault="00D358E0" w:rsidP="00705478">
      <w:pPr>
        <w:rPr>
          <w:rFonts w:ascii="宋体" w:eastAsia="宋体" w:hAnsi="宋体"/>
        </w:rPr>
      </w:pPr>
    </w:p>
    <w:p w:rsidR="00705478" w:rsidRPr="00705478" w:rsidRDefault="00705478" w:rsidP="00705478">
      <w:pPr>
        <w:jc w:val="right"/>
        <w:rPr>
          <w:rFonts w:ascii="宋体" w:eastAsia="宋体" w:hAnsi="宋体"/>
          <w:sz w:val="28"/>
          <w:szCs w:val="28"/>
        </w:rPr>
      </w:pPr>
      <w:r w:rsidRPr="00705478">
        <w:rPr>
          <w:rFonts w:ascii="宋体" w:eastAsia="宋体" w:hAnsi="宋体" w:hint="eastAsia"/>
          <w:sz w:val="28"/>
          <w:szCs w:val="28"/>
        </w:rPr>
        <w:t>华贵人寿保险股份有限公司</w:t>
      </w:r>
    </w:p>
    <w:sectPr w:rsidR="00705478" w:rsidRPr="00705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E0" w:rsidRDefault="00D358E0"/>
  </w:endnote>
  <w:endnote w:type="continuationSeparator" w:id="0">
    <w:p w:rsidR="00D358E0" w:rsidRDefault="00D35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E0" w:rsidRDefault="00D358E0"/>
  </w:footnote>
  <w:footnote w:type="continuationSeparator" w:id="0">
    <w:p w:rsidR="00D358E0" w:rsidRDefault="00D358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78"/>
    <w:rsid w:val="0002529A"/>
    <w:rsid w:val="00255EC0"/>
    <w:rsid w:val="002D5FC8"/>
    <w:rsid w:val="00454D8B"/>
    <w:rsid w:val="00472722"/>
    <w:rsid w:val="00705478"/>
    <w:rsid w:val="007A0550"/>
    <w:rsid w:val="00A35631"/>
    <w:rsid w:val="00BB6B82"/>
    <w:rsid w:val="00D358E0"/>
    <w:rsid w:val="00DB2D60"/>
    <w:rsid w:val="00E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B0CCA"/>
  <w15:chartTrackingRefBased/>
  <w15:docId w15:val="{003BDCDA-170D-4BB4-AFA0-8136FF4F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82"/>
    <w:pPr>
      <w:widowControl w:val="0"/>
      <w:jc w:val="both"/>
    </w:pPr>
    <w:rPr>
      <w:rFonts w:ascii="Arial" w:eastAsia="仿宋_GB2312" w:hAnsi="Arial"/>
      <w:szCs w:val="21"/>
    </w:rPr>
  </w:style>
  <w:style w:type="paragraph" w:styleId="1">
    <w:name w:val="heading 1"/>
    <w:basedOn w:val="a"/>
    <w:next w:val="a"/>
    <w:link w:val="10"/>
    <w:qFormat/>
    <w:rsid w:val="00BB6B82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B6B82"/>
    <w:rPr>
      <w:rFonts w:ascii="Arial" w:eastAsia="仿宋_GB2312" w:hAnsi="Arial" w:cs="Times New Roman"/>
      <w:b/>
      <w:bCs/>
      <w:kern w:val="44"/>
      <w:sz w:val="44"/>
      <w:szCs w:val="44"/>
    </w:rPr>
  </w:style>
  <w:style w:type="paragraph" w:styleId="11">
    <w:name w:val="toc 1"/>
    <w:basedOn w:val="a"/>
    <w:next w:val="a"/>
    <w:autoRedefine/>
    <w:uiPriority w:val="39"/>
    <w:qFormat/>
    <w:rsid w:val="00BB6B82"/>
    <w:rPr>
      <w:rFonts w:cs="Times New Roman"/>
    </w:rPr>
  </w:style>
  <w:style w:type="paragraph" w:styleId="TOC">
    <w:name w:val="TOC Heading"/>
    <w:basedOn w:val="1"/>
    <w:next w:val="a"/>
    <w:uiPriority w:val="39"/>
    <w:semiHidden/>
    <w:unhideWhenUsed/>
    <w:qFormat/>
    <w:rsid w:val="00BB6B8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B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D60"/>
    <w:rPr>
      <w:rFonts w:ascii="Arial" w:eastAsia="仿宋_GB2312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D60"/>
    <w:rPr>
      <w:rFonts w:ascii="Arial" w:eastAsia="仿宋_GB2312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李婉羚</dc:creator>
  <cp:keywords/>
  <dc:description/>
  <cp:lastModifiedBy>孙鹏远</cp:lastModifiedBy>
  <cp:revision>3</cp:revision>
  <dcterms:created xsi:type="dcterms:W3CDTF">2019-03-11T06:33:00Z</dcterms:created>
  <dcterms:modified xsi:type="dcterms:W3CDTF">2019-03-11T07:31:00Z</dcterms:modified>
</cp:coreProperties>
</file>